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189</w:t>
      </w:r>
    </w:p>
    <w:p>
      <w:r>
        <w:t>Bundesgericht (BGE), 2010-09-09, DE</w:t>
      </w:r>
    </w:p>
    <w:p>
      <w:r>
        <w:rPr>
          <w:b/>
        </w:rPr>
        <w:t xml:space="preserve">Quelle: </w:t>
      </w:r>
      <w:r>
        <w:t>https://mcp.opencaselaw.ch/entscheid/bge_138 I 189</w:t>
      </w:r>
    </w:p>
    <w:p>
      <w:r>
        <w:t>FR: ATF 138 I 189</w:t>
      </w:r>
    </w:p>
    <w:p>
      <w:r>
        <w:t>IT: DTF 138 I 189</w:t>
      </w:r>
    </w:p>
    <w:p>
      <w:pPr>
        <w:pStyle w:val="Heading2"/>
      </w:pPr>
      <w:r>
        <w:t>Regeste</w:t>
      </w:r>
    </w:p>
    <w:p>
      <w:r>
        <w:t>Regeste Art. 34 Abs. 1 BV; Modalitäten bei der Umsetzung eines Volksvorschlages (konstruktiven Referendums). Obwohl inhaltliche Änderungen am Volksvorschlag grundsätzlich ausgeschlossen sind, ist eine Anpassung des Gesetzestextes an den Termin des Inkrafttretens nicht unzulässig. Verzögert sich die Inkraftsetzung aus prozessualen Gründen, bedürfte die rückwirkende Geltung der neuen Regelung insbesondere einer entsprechenden genügenden Gesetzesgrundlage und müsste sie einem schutzwürdigen öffentlichen Interesse dienen (E. 2 und 3).</w:t>
      </w:r>
    </w:p>
    <w:p>
      <w:pPr>
        <w:pStyle w:val="Heading2"/>
      </w:pPr>
      <w:r>
        <w:t>Erwägungen</w:t>
      </w:r>
    </w:p>
    <w:p>
      <w:r>
        <w:rPr>
          <w:b/>
        </w:rPr>
        <w:t>E. 2.1</w:t>
      </w:r>
    </w:p>
    <w:p>
      <w:r>
        <w:t>Art. 34 Abs. 1 BV gewährleistet in allgemeiner Weise die politischen Rechte auf Ebene des Bundes, der Kantone und der Gemeinden. BGE 138 I 189 S. 191 Die Bestimmung bedarf der gesetzlichen Konkretisierung und ist damit der kantonalen Differenzierung zugänglich ( BGE 116 Ia 242 E. 3c S. 251 mit Hinweisen; Urteile 1C_103/2010 vom 26. August 2010 E. 2.2 und 1C_11/2009 vom 3. Juni 2009 E. 3.1).</w:t>
      </w:r>
    </w:p>
    <w:p>
      <w:r>
        <w:rPr>
          <w:b/>
        </w:rPr>
        <w:t>E. 2.2</w:t>
      </w:r>
    </w:p>
    <w:p>
      <w:r>
        <w:t>Stellt im Kanton Bern der Grosse Rat zu einer Abstimmungsvorlage keinen Eventualantrag, können gemäss Art. 63 Abs. 3 der Verfassung des Kantons Bern vom 6. Juni 1993 (KV/BE; SR 131.212) 10'000 Stimmberechtigte innert drei Monaten seit Publikation eines Gesetzes oder eines Grundsatzbeschlusses einen Volksvorschlag einreichen; dieser gilt als Referendum (vgl. URS BOLZ, in: Handbuch des bernischen Verfassungsrechts, Teil I: Volksrechte, Kälin/Bolz [Hrsg.], 1995, S. 115 f.). Prozessual findet nach Art. 63 Abs. 4 KV/BE das gleiche Abstimmungsverfahren wie bei einem Gegenvorschlag zu einer Initiative Anwendung. Damit wird auf Art. 60 KV/BE verwiesen. In analoger Anwendung der Regeln für Initiative und Gegenvorschlag findet die Abstimmung über die Hauptvorlage und den Volksvorschlag gleichzeitig statt, wobei die Stimmberechtigten gültig beiden Vorlagen zustimmen und darüber befinden können, welcher sie im Falle der Annahme beider Vorlagen den Vorzug geben würden.</w:t>
      </w:r>
    </w:p>
    <w:p>
      <w:r>
        <w:rPr>
          <w:b/>
        </w:rPr>
        <w:t>E. 2.3</w:t>
      </w:r>
    </w:p>
    <w:p>
      <w:r>
        <w:t>Der Volksvorschlag ist ein Volksrecht, das auch als konstruktives Referendum bezeichnet wird, und stellt das "direktdemokratische Spiegelbild des parlamentarischen Gegenvorschlags zu einer Volksinitiative" dar (so HANGARTER/KLEY, Die demokratischen Rechte in Bund und Kantonen der Schweizerischen Eidgenossenschaft, 2000, Rz. 2181 f.). Er folgt im Wesentlichen denselben Rechtsregeln wie ein parlamentarischer Gegenvorschlag (vgl. Urteil 1C_103/2010 vom 26. August 2010, in: ZBl 112/2011 S. 279).</w:t>
      </w:r>
    </w:p>
    <w:p>
      <w:r>
        <w:rPr>
          <w:b/>
        </w:rPr>
        <w:t>E. 2.4</w:t>
      </w:r>
    </w:p>
    <w:p>
      <w:r>
        <w:t>Art. 59a ff. des bernischen Gesetzes vom 5. Mai 1980 über die politischen Rechte (GPR; BSG 141.1) konkretisieren die verfassungsrechtliche Regelung des Volksvorschlages. Namentlich sieht Art. 59a GPR vor, dass der Volksvorschlag als Ganzes in der Form des ausgearbeiteten Entwurfs der Grossratsvorlage gegenübergestellt wird. Gibt es wie hier nur einen Volksvorschlag, gelangt nach Art. 59d GPR uneingeschränkt dasselbe Verfahren gemäss Art. 20 GPR wie bei einer Initiative mit Gegenvorschlag zur Anwendung.</w:t>
      </w:r>
    </w:p>
    <w:p>
      <w:r>
        <w:rPr>
          <w:b/>
        </w:rPr>
        <w:t>E. 2.5</w:t>
      </w:r>
    </w:p>
    <w:p>
      <w:r>
        <w:t>Da der Volksvorschlag in der Form des ausgearbeiteten Entwurfs zu ergehen hat und dergestalt der Grossratsvorlage gegenübergestellt wird (vgl. Art. 59a Abs. 2 GPR), sind inhaltliche Änderungen durch den Grossen Rat grundsätzlich ausgeschlossen (THOMAS SÄGESSER, Das BGE 138 I 189 S. 192 konstruktive Referendum, 2000, S. 80 und 112). Hingegen legt der Gesetzgeber, hier der Grosse Rat des Kantons Bern (vgl. Art. 74 KV/BE ), das Inkrafttreten eines neuen Gesetzes fest. Diese Befugnis kann grundsätzlich unter Beachtung der entsprechenden verfassungsrechtlichen Voraussetzungen (vgl. Art. 69 KV/BE ) an die Exekutive, hier den Regierungsrat des Kantons Bern, delegiert werden. Dafür braucht es insbesondere eine gesetzliche Grundlage.</w:t>
      </w:r>
    </w:p>
    <w:p>
      <w:r>
        <w:rPr>
          <w:b/>
        </w:rPr>
        <w:t>E. 3.1</w:t>
      </w:r>
    </w:p>
    <w:p>
      <w:r>
        <w:t>Im vorliegenden Fall ist strittig, ob der Grosse Rat die im Volksvorschlag vorgesehene zeitliche Regelung ändern durfte. Diese findet sich in Art. 12a des Gesetzesentwurfs sowie in dessen Übergangsbestimmung und in der Festsetzung des Inkrafttretens. Das Inkrafttreten war ursprünglich auf den 1. Januar 2011 angesetzt. Die neue Regelung war für die ab dem 1. Januar 2011 erstmals in Verkehr gesetzten Fahrzeuge vorgesehen, und für die zwischen dem 1. August und 31. Dezember 2010 in Verkehr gesetzten Fahrzeuge hätte eine Übergangsbestimmung gelten sollen. Der Volksvorschlag enthielt analoge Bestimmungen in zeitlicher Hinsicht. Wegen der Verzögerung, die sich durch die Probleme bei der Ermittlung des Abstimmungsergebnisses bzw. durch die vom Verwaltungsgericht angeordnete, aber nicht mehr durchführbare Nachzählung ergaben, verschob der Grosse Rat das Inkrafttreten zweimal. Der Beschwerdeführer focht die erstmalige Verschiebung auf den 1. Januar 2012 und die damit verbundenen Anpassungen nicht an, wendet sich nunmehr aber gegen die zweite Verschiebung auf den 1. Januar 2013 und die damit zusammenhängenden Änderungen von Art. 12a und der Übergangsbestimmung des Volksvorschlags. Dieses Vorgehen erscheint nicht ganz widerspruchsfrei; es kann aber offenbleiben, wieweit er dadurch allenfalls seiner Rechte verlustig gegangen sein könnte.</w:t>
      </w:r>
    </w:p>
    <w:p>
      <w:r>
        <w:rPr>
          <w:b/>
        </w:rPr>
        <w:t>E. 3.2</w:t>
      </w:r>
    </w:p>
    <w:p>
      <w:r>
        <w:t>Grundsätzlich fragt es sich, ob der Beschwerdeführer zurzeit überhaupt ein aktuelles praktisches Interesse an seiner Beschwerde hat. Genau genommen hängt das vom Ausgang der Parallelverfahren vor Bundesgericht (1C_418/2011 und BGE 138 I 171 ) sowie gegebenenfalls vom Ergebnis der eventuellen Wiederholung der Abstimmung ab. Das Interesse an der Beschwerde ist nämlich daran geknüpft, dass der Volksvorschlag auch obsiegt, was nur dann zutrifft, wenn die Wiederholung der Abstimmung wegfällt, d.h. die entsprechenden Beschwerden in diesem Sinne gutgeheissen werden und das ursprüngliche Abstimmungsresultat gültig ist, oder wenn in einer BGE 138 I 189 S. 193 Abstimmungswiederholung erneut der Volksvorschlag die Mehrheit erzielt und in der allfälligen Stichfrage obsiegt. Dass der Grosse Rat seine eigene Vorlage nicht abändern dürfte, wird nicht geltend gemacht und könnte wohl auch nicht im Rahmen einer Stimmrechtsbeschwerde vorgetragen werden. In diesem Sinne ergeht das vorliegende Urteil unter Vorbehalt. Angesichts der damit verbundenen Gefahr weiterer Verzögerungen rechtfertigt es sich jedoch nicht, das vorliegende Verfahren auszusetzen und das Ergebnis der Parallelverfahren bzw. der wiederholten Volksabstimmung abzuwarten. Das würde nur neue prozessuale Fragen aufwerfen und zu einer zusätzlichen Verzögerung führen. Ein Sistierungsantrag wird denn auch von keiner Seite gestellt.</w:t>
      </w:r>
    </w:p>
    <w:p>
      <w:r>
        <w:rPr>
          <w:b/>
        </w:rPr>
        <w:t>E. 3.3</w:t>
      </w:r>
    </w:p>
    <w:p>
      <w:r>
        <w:t>Mit der angefochtenen Gesetzesänderung sieht der Grosse Rat eine Anpassung der inhaltlichen Regelung des Gesetzes an den Termin seines Inkrafttretens vor. Es geht um die Besteuerung von nach oder kurz vor dem Inkrafttreten der ECOTAX-Bestimmungen neu in Verkehr gesetzten Fahrzeugen. Der Beschwerdeführer ist demgegenüber der Ansicht, die mit dem Volksvorschlag verbundenen Erleichterungen sollten so gelten, wie wenn die Gesetzesnovelle am 1. Januar 2012 in Kraft getreten wäre. Damit verlangt er die Rückwirkung der gesetzlichen Regelung, die darauf hinausliefe, die seit dem 1. Januar 2012 neu in Verkehr gesetzten Fahrzeuge und gemäss der Übergangsbestimmung teilweise auch die seit dem 1. Juni 2011 in Verkehr gesetzten Fahrzeuge bereits für das Jahr 2012 steuerlich zu begünstigen.</w:t>
      </w:r>
    </w:p>
    <w:p>
      <w:r>
        <w:rPr>
          <w:b/>
        </w:rPr>
        <w:t>E. 3.4</w:t>
      </w:r>
    </w:p>
    <w:p>
      <w:r>
        <w:t>Die Rechtsprechung unterscheidet zwischen eigentlicher oder echter und unechter Rückwirkung. Eine echte Rückwirkung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Auch diese Rückwirkung gilt nur dann als verfassungsrechtlich unbedenklich, wenn ihr nicht wohlerworbene Rechte entgegenstehen ( BGE 126 V 134 E. 4a; BGE 138 I 189 S. 194 BGE 122 V 405 E. 3b/aa, BGE 122 V 6 E. 3a S. 8; je mit Hinweisen; Urteil 4A_6/2009 vom 11. März 2009 E. 2.6).</w:t>
      </w:r>
    </w:p>
    <w:p>
      <w:r>
        <w:rPr>
          <w:b/>
        </w:rPr>
        <w:t>E. 3.5</w:t>
      </w:r>
    </w:p>
    <w:p>
      <w:r>
        <w:t>Die vom Beschwerdeführer angestrebte zeitliche Geltung des Gesetzes würde zu einer echten Rückwirkung führen, da die Neuregelung im Zeitpunkt ihres Inkrafttretens am 1. Januar 2013 bereits für das Steuerjahr 2012 gälte. Daran ändert nichts, dass ein Grossteil der Fahrzeuge auch noch im Jahr 2013 in Verkehr bleiben dürften. Einesteils gibt es offensichtlich solche, die 2013 nicht mehr im Gebrauch stehen, andernteils ist das Steuerjahr 2012 bei Inkrafttreten der Gesetzesnovelle abgelaufen, womit es sich um einen abgeschlossenen Sachverhalt handelt. Es findet sich im vorliegenden Fall indessen keine für eine echte Rückwirkung erforderliche gesetzliche Grundlage, die sich durch eine entsprechende ausdrückliche Anordnung manifestieren müsste. Eine solche Anordnung ist etwa in Ziffer II des Grossratsbeschlusses vom 21. November 2011 enthalten, wonach die Gesetzesnovelle rückwirkend auf den 12. März 2012, einen Tag nach der ursprünglich vorgesehenen, inzwischen aber abgesetzten Abstimmungswiederholung, in Kraft treten soll. Eine analoge Bestimmung über die Rückwirkung im Sinne des Anliegens des Beschwerdeführers findet sich hingegen nicht, auch nicht im Volksvorschlag selbst, weshalb es an einer entsprechenden genügenden gesetzlichen Grundlage fehlt.</w:t>
      </w:r>
    </w:p>
    <w:p>
      <w:r>
        <w:rPr>
          <w:b/>
        </w:rPr>
        <w:t>E. 3.6</w:t>
      </w:r>
    </w:p>
    <w:p>
      <w:r>
        <w:t>Im Übrigen ist nicht von der Hand zu weisen, dass es sich bei der angefochtenen Gesetzesnovelle lediglich um eine technische Anpassung handelt, die durch die Verzögerung bedingt ist, welche sich aus der Anfechtung des Ergebnisses der Volksabstimmung vom 13. Februar 2011 und den damit verbundenen prozessualen Folgen ergab. Die Verschiebung des Inkrafttretens der Gesetzesnovelle ist angesichts der Unsicherheit darüber, welche Regelung denn dereinst gelten wird, sinnvoll, wenn nicht sogar unausweichlich. Klaffen nämlich Inkrafttreten und zeitliche Geltung der neuen Regelung auseinander, ergeben sich daraus etliche Probleme. Die vom Beschwerdeführer verlangte Rückwirkung würde nicht nur gesetzestechnische Fragen aufwerfen, sondern brächte auch kaum überschaubare Schwierigkeiten bei der Umsetzung der gesetzlichen Regelung mit sich. Insbesondere setzt die Einführung der neuen Regelung eine gewisse Vorlaufzeit in technisch-administrativer Hinsicht voraus. Die bereits getätigten Steuerveranlagungen müssten geändert werden, was aufwendig wäre und das Risiko von Veranlagungsfehlern mit sich brächte. Für diejenigen BGE 138 I 189 S. 195 Personen, die im Hinblick auf eine allfällige Gesetzesrevision per 1. Januar 2012 ein umweltfreundlicheres Fahrzeug erworben haben, gilt überdies eine besondere Regelung, die eine Benachteiligung wegen der Verzögerung des Inkrafttretens vermeiden hilft. Die Folgen der zeitlichen Verzögerung werden dadurch abgemildert. Die Gesetzesnovelle beachtet damit auch die Anforderungen des Verhältnismässigkeitsprinzips. Insgesamt liegt eine Rückwirkung, wie sie vom Beschwerdeführer verlangt wird, selbst wenn sie sich als möglich erwiese, nicht im öffentlichen Interesse. Der Gesetzgeber hat mithin den Volksvorschlag nicht in einer Weise inhaltlich geändert, die ihm verboten wäre.</w:t>
      </w:r>
    </w:p>
    <w:p>
      <w:r>
        <w:rPr>
          <w:b/>
        </w:rPr>
        <w:t>E. 3.7</w:t>
      </w:r>
    </w:p>
    <w:p>
      <w:r>
        <w:t>Demnach verletzt der angefochtene Erlass die politischen Rechte des Beschwerdeführers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